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стимулирующего мероприятия: сети магазинов «Азбука Мебели» и «Народные Кухни»</w:t>
      </w: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стимулирующего мероприятия: «Подарки от Азбука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Мебели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Народные Кухни»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2.Наименование подарков, с реализацией которого связано проведение Мероприятия.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условия Мероприятия, позволяющие установить взаимосвязь подарков стимулирующим мероприятием, размещаются в магазинах сети «Азбука Мебели», «Народные Кухни» участвующих в Мероприятии (у консультантов), и на сайте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http://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azbuka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mebeli</w:t>
        </w:r>
        <w:r>
          <w:rPr>
            <w:rFonts w:ascii="Times New Roman" w:hAnsi="Times New Roman" w:cs="Times New Roman"/>
            <w:sz w:val="24"/>
            <w:szCs w:val="24"/>
          </w:rPr>
          <w:t>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">
        <w:r>
          <w:rPr>
            <w:rFonts w:ascii="Times New Roman" w:hAnsi="Times New Roman" w:cs="Times New Roman"/>
            <w:sz w:val="24"/>
            <w:szCs w:val="24"/>
            <w:highlight w:val="white"/>
            <w:lang w:val="en-US"/>
          </w:rPr>
          <w:t>www</w:t>
        </w:r>
        <w:r>
          <w:rPr>
            <w:rFonts w:ascii="Times New Roman" w:hAnsi="Times New Roman" w:cs="Times New Roman"/>
            <w:sz w:val="24"/>
            <w:szCs w:val="24"/>
            <w:highlight w:val="white"/>
          </w:rPr>
          <w:t>.</w:t>
        </w:r>
        <w:r>
          <w:rPr>
            <w:rFonts w:ascii="Times New Roman" w:hAnsi="Times New Roman" w:cs="Times New Roman"/>
            <w:sz w:val="24"/>
            <w:szCs w:val="24"/>
            <w:highlight w:val="white"/>
            <w:lang w:val="en-US"/>
          </w:rPr>
          <w:t>narodkuhni</w:t>
        </w:r>
        <w:r>
          <w:rPr>
            <w:rFonts w:ascii="Times New Roman" w:hAnsi="Times New Roman" w:cs="Times New Roman"/>
            <w:sz w:val="24"/>
            <w:szCs w:val="24"/>
            <w:highlight w:val="white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highlight w:val="white"/>
            <w:lang w:val="en-US"/>
          </w:rPr>
          <w:t>ru</w:t>
        </w:r>
        <w:proofErr w:type="spellEnd"/>
      </w:hyperlink>
      <w:r>
        <w:rPr>
          <w:rStyle w:val="-"/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 телефону горячей линии </w:t>
      </w:r>
      <w:hyperlink r:id="rId7">
        <w:r>
          <w:rPr>
            <w:rFonts w:ascii="Times New Roman" w:hAnsi="Times New Roman" w:cs="Times New Roman"/>
            <w:b/>
            <w:bCs/>
            <w:color w:val="4A4A4A"/>
            <w:sz w:val="24"/>
            <w:szCs w:val="24"/>
            <w:highlight w:val="white"/>
          </w:rPr>
          <w:t>8 800 707</w:t>
        </w:r>
      </w:hyperlink>
      <w:r>
        <w:rPr>
          <w:rStyle w:val="-"/>
          <w:rFonts w:ascii="Times New Roman" w:hAnsi="Times New Roman" w:cs="Times New Roman"/>
          <w:b/>
          <w:bCs/>
          <w:color w:val="4A4A4A"/>
          <w:sz w:val="24"/>
          <w:szCs w:val="24"/>
          <w:highlight w:val="white"/>
          <w:u w:val="none"/>
        </w:rPr>
        <w:t xml:space="preserve"> 06 06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3.Территория проведения Мероприятия: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Магазины сети «Азбука Мебели»,</w:t>
      </w:r>
      <w:r>
        <w:rPr>
          <w:rFonts w:ascii="Times New Roman" w:hAnsi="Times New Roman" w:cs="Times New Roman"/>
          <w:sz w:val="24"/>
          <w:szCs w:val="24"/>
        </w:rPr>
        <w:t xml:space="preserve"> «Народные Кухни» на территории Российской Федерации в соответствии с адресной программой, указанной на сайте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http://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azbuka</w:t>
        </w:r>
        <w:r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mebeli</w:t>
        </w:r>
        <w:r>
          <w:rPr>
            <w:rFonts w:ascii="Times New Roman" w:hAnsi="Times New Roman" w:cs="Times New Roman"/>
            <w:sz w:val="24"/>
            <w:szCs w:val="24"/>
          </w:rPr>
          <w:t>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>
        <w:r>
          <w:rPr>
            <w:rFonts w:ascii="Times New Roman" w:hAnsi="Times New Roman" w:cs="Times New Roman"/>
            <w:sz w:val="24"/>
            <w:szCs w:val="24"/>
            <w:highlight w:val="white"/>
            <w:lang w:val="en-US"/>
          </w:rPr>
          <w:t>www</w:t>
        </w:r>
        <w:r>
          <w:rPr>
            <w:rFonts w:ascii="Times New Roman" w:hAnsi="Times New Roman" w:cs="Times New Roman"/>
            <w:sz w:val="24"/>
            <w:szCs w:val="24"/>
            <w:highlight w:val="white"/>
          </w:rPr>
          <w:t>.</w:t>
        </w:r>
        <w:r>
          <w:rPr>
            <w:rFonts w:ascii="Times New Roman" w:hAnsi="Times New Roman" w:cs="Times New Roman"/>
            <w:sz w:val="24"/>
            <w:szCs w:val="24"/>
            <w:highlight w:val="white"/>
            <w:lang w:val="en-US"/>
          </w:rPr>
          <w:t>narodkuhni</w:t>
        </w:r>
        <w:r>
          <w:rPr>
            <w:rFonts w:ascii="Times New Roman" w:hAnsi="Times New Roman" w:cs="Times New Roman"/>
            <w:sz w:val="24"/>
            <w:szCs w:val="24"/>
            <w:highlight w:val="white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highlight w:val="white"/>
            <w:lang w:val="en-US"/>
          </w:rPr>
          <w:t>ru</w:t>
        </w:r>
        <w:proofErr w:type="spellEnd"/>
      </w:hyperlink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bookmarkStart w:id="0" w:name="_Hlk521604191"/>
      <w:bookmarkEnd w:id="0"/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Организатора и Технического оператора стимулирующего мероприятия (с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указанием  юридического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почтового адресов, банковских реквизитов, идентификационного номера налогоплательщика и сведений об открытии счета в кредитной организации):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Полное н</w:t>
      </w:r>
      <w:r>
        <w:rPr>
          <w:rFonts w:ascii="Times New Roman" w:hAnsi="Times New Roman" w:cs="Times New Roman"/>
          <w:sz w:val="24"/>
          <w:szCs w:val="24"/>
        </w:rPr>
        <w:t xml:space="preserve">аименование: Общество с ограниченной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ответственностью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</w:t>
      </w:r>
      <w:proofErr w:type="gramEnd"/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«Деловые люди»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Сокращенное наименование: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УК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люди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(в соответствии с учредительными документами): 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Юр.адрес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690039 г. Владивосток, ул. Русская 2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«К»</w:t>
      </w:r>
      <w:r>
        <w:rPr>
          <w:rFonts w:ascii="Times New Roman" w:hAnsi="Times New Roman" w:cs="Times New Roman"/>
          <w:color w:val="000000"/>
          <w:sz w:val="24"/>
          <w:szCs w:val="24"/>
        </w:rPr>
        <w:t>, 5 этаж, офис №1 УК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Почтовый адрес: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690039, г. Владивосток, ул. Русская 2 «К», 5 этаж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2539072746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253901001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1062539004648</w:t>
      </w:r>
    </w:p>
    <w:p w:rsidR="00924447" w:rsidRDefault="00924447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реквизиты: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р/с 40702810920020003677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Филиал "Хабаровский" АО "АЛЬФА-БАНК"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 30101810800000000770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04081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3770</w:t>
      </w:r>
    </w:p>
    <w:p w:rsidR="00924447" w:rsidRDefault="00924447">
      <w:pPr>
        <w:pStyle w:val="af1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Организатора: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Стимулирующего мероприятия;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достоверности данных Участников мероприятия;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Коммуникация с Участниками/Победителями стимулирующего мероприятия;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и оповещение получателей подарка стимулирующего </w:t>
      </w:r>
      <w:r>
        <w:rPr>
          <w:rFonts w:ascii="Times New Roman" w:hAnsi="Times New Roman" w:cs="Times New Roman"/>
          <w:sz w:val="24"/>
          <w:szCs w:val="24"/>
        </w:rPr>
        <w:t>мероприятия;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документов и контактной информации участников стимулирующего мероприятия;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Подарков Победителям стимулирующего мероприятия.</w:t>
      </w: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Техническим оператором Акции, </w:t>
      </w:r>
      <w:r>
        <w:rPr>
          <w:rFonts w:ascii="Times New Roman" w:hAnsi="Times New Roman" w:cs="Times New Roman"/>
          <w:sz w:val="24"/>
          <w:szCs w:val="24"/>
        </w:rPr>
        <w:t>то есть юридическим лицом, созданным в соответствии с законодательством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Федерации, действующим в интересах и по поручению Организатора, является: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lastRenderedPageBreak/>
        <w:t>Полное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ответственностью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</w:t>
      </w:r>
      <w:proofErr w:type="gramEnd"/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«Деловые люди»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Сокращенное наименование: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УК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люди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Место нахождения (в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учредительными документами): 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Юр.адрес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690039 г. Владивосток, ул. Русская 2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«К», 5 этаж, офис №1 УК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Почтовый адрес: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690039, г. Владивосток, ул. Русская 2 «К», 5 этаж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2539072746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253901001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1062539004648</w:t>
      </w:r>
    </w:p>
    <w:p w:rsidR="00924447" w:rsidRDefault="00924447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реквизиты: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р/с 407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02810920020003677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Филиал "Хабаровский" АО "АЛЬФА-БАНК"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 30101810800000000770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040813770</w:t>
      </w: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Акции является: 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t>Полное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ответственностью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</w:t>
      </w:r>
      <w:proofErr w:type="gramEnd"/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«Деловые люди»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Сокращенное наименование: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люди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Место нахождения (в соответствии с учредительными документами): 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Юр.адрес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690039 г. Владивосток, ул. Русская 2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«К», 5 этаж, офис №1 УК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Почтовый адрес: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690039, г. Владивосток, ул. Русская 2 «К», 5 этаж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2539072746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253901001</w:t>
      </w: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062539004648</w:t>
      </w:r>
    </w:p>
    <w:p w:rsidR="00924447" w:rsidRDefault="00924447">
      <w:pPr>
        <w:pStyle w:val="af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bookmarkStart w:id="1" w:name="_Hlk521604160"/>
      <w:bookmarkEnd w:id="1"/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Сроки проведения Мероприятия: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Общий срок проведения Мероприятия: с «05»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декабря 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по «15» января 2021 года(включительно);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Организатор имеет право в одностороннем порядке продлить или досрочно завершить период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в любом из магазинов сети «Азбука Мебели», «Народные Кухни» участвующих в стимулирующем мероприятии.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Указанное в настоящих Правилах время – московское. Все действия лиц, желающих принять участие в Мероприятии, участников Мероприятия, Орга</w:t>
      </w:r>
      <w:r>
        <w:rPr>
          <w:rFonts w:ascii="Times New Roman" w:hAnsi="Times New Roman" w:cs="Times New Roman"/>
          <w:sz w:val="24"/>
          <w:szCs w:val="24"/>
        </w:rPr>
        <w:t>низатора фиксируются по московскому времени.</w:t>
      </w:r>
      <w:bookmarkStart w:id="2" w:name="_Hlk521604446"/>
      <w:bookmarkEnd w:id="2"/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Права и обязанности участников стимулирующего мероприятия: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Участниками стимулирующего мероприятия могут быть дееспособные физические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лица,достигшие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18 - летнего возраста и граждане Российской Федерации. 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 стимулирующем мероприятии </w:t>
      </w:r>
      <w:bookmarkStart w:id="3" w:name="_Hlk521604786"/>
      <w:r>
        <w:rPr>
          <w:rFonts w:ascii="Times New Roman" w:hAnsi="Times New Roman" w:cs="Times New Roman"/>
          <w:sz w:val="24"/>
          <w:szCs w:val="24"/>
        </w:rPr>
        <w:t>запрещается принимать участие работникам и представителям Организатора Мероприятия, аффилированным с ними лицам, близким родственникам таких работников и представителей, работникам рекламных агентств и любых других юридиче</w:t>
      </w:r>
      <w:r>
        <w:rPr>
          <w:rFonts w:ascii="Times New Roman" w:hAnsi="Times New Roman" w:cs="Times New Roman"/>
          <w:sz w:val="24"/>
          <w:szCs w:val="24"/>
        </w:rPr>
        <w:t xml:space="preserve">ских лиц, причастных к проведению Мероприятия и членам их семей,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сотрудникам  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магазинов«Азбука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Мебели», «Народные Кухни».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Данное условие распространяется на лиц, попадающих под указанную категорию в течение предшествующих началу Мероприяти</w:t>
      </w:r>
      <w:r>
        <w:rPr>
          <w:rFonts w:ascii="Times New Roman" w:hAnsi="Times New Roman" w:cs="Times New Roman"/>
          <w:sz w:val="24"/>
          <w:szCs w:val="24"/>
        </w:rPr>
        <w:t>я 3(трех) лет и непосредственно на момент начала мероприятия.</w:t>
      </w:r>
      <w:bookmarkEnd w:id="3"/>
    </w:p>
    <w:p w:rsidR="00924447" w:rsidRDefault="008C7E5C">
      <w:pPr>
        <w:pStyle w:val="af1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Победителем становится Участник, являющийся государственным служащим или работником какой-либо организации с государственным участием или без такового, то вручение такому Участнику Подарка, как он определён далее, осуществляется только если это не 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тиворечит законодательству о государственной службе, законодательству о противодействии коррупции и/или иным положениям законодательства Российской Федерации, внутренним актам соответствующего государственного органа, организации и трудовому договору или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лужебному контракту Участника.  </w:t>
      </w: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6.3.Участники, не соответствующие вышеуказанным требованиям, не имеют право на участие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встимулирующем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мероприятии и право на получение подарков.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bookmarkStart w:id="4" w:name="_Hlk521604862"/>
      <w:r>
        <w:rPr>
          <w:rFonts w:ascii="Times New Roman" w:hAnsi="Times New Roman" w:cs="Times New Roman"/>
          <w:sz w:val="24"/>
          <w:szCs w:val="24"/>
        </w:rPr>
        <w:t>Принимая участие в Мероприятии, а именно, совершая последовательность дей</w:t>
      </w:r>
      <w:r>
        <w:rPr>
          <w:rFonts w:ascii="Times New Roman" w:hAnsi="Times New Roman" w:cs="Times New Roman"/>
          <w:sz w:val="24"/>
          <w:szCs w:val="24"/>
        </w:rPr>
        <w:t>ствий, указанных в настоящих Правилах, имеющих целью участие в Мероприятии, Участник соглашается с условиями настоящих Правил</w:t>
      </w:r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6.5.Участники стимулирующего мероприятия обязаны выполнять все действия, связанные с участием в Мероприятии и получением подарков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условиями Мероприятия сроки.</w:t>
      </w:r>
      <w:bookmarkStart w:id="5" w:name="_Hlk521604986"/>
      <w:bookmarkEnd w:id="5"/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6.6.Для получения подарка Участник обязан сообщить представителям Организатора свои персональные данные и иные обязательные сведения для получения подарка фонда Мероприятия, а также подписать все необходимые до</w:t>
      </w:r>
      <w:r>
        <w:rPr>
          <w:rFonts w:ascii="Times New Roman" w:hAnsi="Times New Roman" w:cs="Times New Roman"/>
          <w:sz w:val="24"/>
          <w:szCs w:val="24"/>
        </w:rPr>
        <w:t>кументы в трехдневный срок. Не выполнение указанных в настоящем пункте условий означает безусловный отказ Участника от получения подарка. В этом случае Участник утрачивает право на получение приза.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Участник также соглашается, что с целью выполнения да</w:t>
      </w:r>
      <w:r>
        <w:rPr>
          <w:rFonts w:ascii="Times New Roman" w:hAnsi="Times New Roman" w:cs="Times New Roman"/>
          <w:sz w:val="24"/>
          <w:szCs w:val="24"/>
        </w:rPr>
        <w:t xml:space="preserve">нных Правил, переданные им персональные данные, будут передаваться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ООО УК «Деловые люди» </w:t>
      </w:r>
      <w:r>
        <w:rPr>
          <w:rFonts w:ascii="Times New Roman" w:hAnsi="Times New Roman" w:cs="Times New Roman"/>
          <w:sz w:val="24"/>
          <w:szCs w:val="24"/>
        </w:rPr>
        <w:t>для обработки, а именно на их сбор, запись, систематизацию, удаление, обезличивание на срок на 1 (год).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Участник стимулирующего мероприятия вправе требовать от Ор</w:t>
      </w:r>
      <w:r>
        <w:rPr>
          <w:rFonts w:ascii="Times New Roman" w:hAnsi="Times New Roman" w:cs="Times New Roman"/>
          <w:sz w:val="24"/>
          <w:szCs w:val="24"/>
        </w:rPr>
        <w:t>ганизатора стимулирующего мероприятия получения информации о Мероприятии в соответствии с условиями Мероприятия.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Организатор Мероприятия обязан завершить проведение Мероприятия, в том числе осуществить предоставление подарка, и совершить другие необхо</w:t>
      </w:r>
      <w:r>
        <w:rPr>
          <w:rFonts w:ascii="Times New Roman" w:hAnsi="Times New Roman" w:cs="Times New Roman"/>
          <w:sz w:val="24"/>
          <w:szCs w:val="24"/>
        </w:rPr>
        <w:t>димые действия в отношении участников Мероприятия.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Организатор оставляет за собой право не вступать в письменные переговоры либо иные контакты с участниками Мероприятия, кроме как в случаях, указанных в настоящих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основании требований д</w:t>
      </w:r>
      <w:r>
        <w:rPr>
          <w:rFonts w:ascii="Times New Roman" w:hAnsi="Times New Roman" w:cs="Times New Roman"/>
          <w:sz w:val="24"/>
          <w:szCs w:val="24"/>
        </w:rPr>
        <w:t>ействующего законодательства Российской Федерации.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Решения Организатора по всем вопросам, связанным с проведением Мероприятия, являются окончательными и не подлежащими пересмотру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 Участник подтверждает, что является совершеннолетним, </w:t>
      </w:r>
      <w:r>
        <w:rPr>
          <w:rFonts w:ascii="Times New Roman" w:hAnsi="Times New Roman" w:cs="Times New Roman"/>
          <w:sz w:val="24"/>
          <w:szCs w:val="24"/>
        </w:rPr>
        <w:t xml:space="preserve">дееспособным гражданином Российской Федерации и что он сообщил собственные и достоверные данные. Организатор и его уполномоченные представители, обязуются соблюдать необходимые меры защиты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персональныхданных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Участников от несанкционированного распространен</w:t>
      </w:r>
      <w:r>
        <w:rPr>
          <w:rFonts w:ascii="Times New Roman" w:hAnsi="Times New Roman" w:cs="Times New Roman"/>
          <w:sz w:val="24"/>
          <w:szCs w:val="24"/>
        </w:rPr>
        <w:t>ия.</w:t>
      </w:r>
      <w:bookmarkStart w:id="6" w:name="_Hlk521605379"/>
      <w:bookmarkEnd w:id="6"/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участия в стимулирующем Мероприятии: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Для того чтобы стать Участником Мероприятия, лицу, соответствующему требованиям, установленным в пункте 6.1. настоящих Правил, необходимо совершить следующие действия:</w:t>
      </w:r>
    </w:p>
    <w:p w:rsidR="00924447" w:rsidRDefault="00924447">
      <w:pPr>
        <w:pStyle w:val="af1"/>
        <w:ind w:left="0"/>
        <w:rPr>
          <w:rFonts w:ascii="Times New Roman" w:hAnsi="Times New Roman" w:cs="Times New Roman"/>
          <w:spacing w:val="-1"/>
          <w:sz w:val="24"/>
          <w:szCs w:val="24"/>
        </w:rPr>
      </w:pP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  В период проведения Ме</w:t>
      </w:r>
      <w:r>
        <w:rPr>
          <w:rFonts w:ascii="Times New Roman" w:hAnsi="Times New Roman" w:cs="Times New Roman"/>
          <w:sz w:val="24"/>
          <w:szCs w:val="24"/>
        </w:rPr>
        <w:t>роприятия, указанный в п. 5.2 настоящих Правил (с 5 декабря 2020 года по 15 января 2021 года включительно) отправить СМС на номер 2420 со словом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ПОДАРОК, согласно п.2 настоящих Правил.</w:t>
      </w:r>
    </w:p>
    <w:p w:rsidR="00924447" w:rsidRDefault="00924447">
      <w:pPr>
        <w:pStyle w:val="af1"/>
        <w:ind w:left="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 В течение 15 минут на номер мобильного телефона, с которого был</w:t>
      </w:r>
      <w:r>
        <w:rPr>
          <w:rFonts w:ascii="Times New Roman" w:hAnsi="Times New Roman" w:cs="Times New Roman"/>
          <w:sz w:val="24"/>
          <w:szCs w:val="24"/>
        </w:rPr>
        <w:t>о отправлено короткое SMS-сообщение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получит обратное СМС с промо кодом </w:t>
      </w:r>
      <w:r>
        <w:rPr>
          <w:rFonts w:ascii="Times New Roman" w:hAnsi="Times New Roman" w:cs="Times New Roman"/>
          <w:color w:val="000000"/>
          <w:sz w:val="24"/>
          <w:szCs w:val="24"/>
        </w:rPr>
        <w:t>и наименование подарка.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подарка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абоненту необходимо оформить покупку сообщив промо код и наименование подарка продавцу в  сети магазинах </w:t>
      </w:r>
      <w:r>
        <w:rPr>
          <w:rFonts w:ascii="Times New Roman" w:hAnsi="Times New Roman" w:cs="Times New Roman"/>
          <w:sz w:val="24"/>
          <w:szCs w:val="24"/>
        </w:rPr>
        <w:t>Азбука Мебели», «Народн</w:t>
      </w:r>
      <w:r>
        <w:rPr>
          <w:rFonts w:ascii="Times New Roman" w:hAnsi="Times New Roman" w:cs="Times New Roman"/>
          <w:sz w:val="24"/>
          <w:szCs w:val="24"/>
        </w:rPr>
        <w:t xml:space="preserve">ые Кухни»,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на сайте. </w:t>
      </w:r>
      <w:hyperlink r:id="rId10" w:tgtFrame="_blank">
        <w:r>
          <w:rPr>
            <w:rFonts w:ascii="Times New Roman" w:hAnsi="Times New Roman" w:cs="Times New Roman"/>
            <w:color w:val="990099"/>
            <w:sz w:val="24"/>
            <w:szCs w:val="24"/>
            <w:highlight w:val="white"/>
            <w:lang w:val="en-US"/>
          </w:rPr>
          <w:t>www</w:t>
        </w:r>
        <w:r>
          <w:rPr>
            <w:rFonts w:ascii="Times New Roman" w:hAnsi="Times New Roman" w:cs="Times New Roman"/>
            <w:color w:val="990099"/>
            <w:sz w:val="24"/>
            <w:szCs w:val="24"/>
            <w:highlight w:val="white"/>
          </w:rPr>
          <w:t>.</w:t>
        </w:r>
        <w:r>
          <w:rPr>
            <w:rFonts w:ascii="Times New Roman" w:hAnsi="Times New Roman" w:cs="Times New Roman"/>
            <w:color w:val="990099"/>
            <w:sz w:val="24"/>
            <w:szCs w:val="24"/>
            <w:highlight w:val="white"/>
            <w:lang w:val="en-US"/>
          </w:rPr>
          <w:t>azbykamebeli</w:t>
        </w:r>
        <w:r>
          <w:rPr>
            <w:rFonts w:ascii="Times New Roman" w:hAnsi="Times New Roman" w:cs="Times New Roman"/>
            <w:color w:val="990099"/>
            <w:sz w:val="24"/>
            <w:szCs w:val="24"/>
            <w:highlight w:val="white"/>
          </w:rPr>
          <w:t>.</w:t>
        </w:r>
        <w:r>
          <w:rPr>
            <w:rFonts w:ascii="Times New Roman" w:hAnsi="Times New Roman" w:cs="Times New Roman"/>
            <w:color w:val="990099"/>
            <w:sz w:val="24"/>
            <w:szCs w:val="24"/>
            <w:highlight w:val="white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  или  </w:t>
      </w:r>
      <w:hyperlink r:id="rId11">
        <w:r>
          <w:rPr>
            <w:rFonts w:ascii="Times New Roman" w:hAnsi="Times New Roman" w:cs="Times New Roman"/>
            <w:sz w:val="24"/>
            <w:szCs w:val="24"/>
            <w:highlight w:val="white"/>
            <w:lang w:val="en-US"/>
          </w:rPr>
          <w:t>www</w:t>
        </w:r>
        <w:r>
          <w:rPr>
            <w:rFonts w:ascii="Times New Roman" w:hAnsi="Times New Roman" w:cs="Times New Roman"/>
            <w:sz w:val="24"/>
            <w:szCs w:val="24"/>
            <w:highlight w:val="white"/>
          </w:rPr>
          <w:t>.</w:t>
        </w:r>
        <w:r>
          <w:rPr>
            <w:rFonts w:ascii="Times New Roman" w:hAnsi="Times New Roman" w:cs="Times New Roman"/>
            <w:sz w:val="24"/>
            <w:szCs w:val="24"/>
            <w:highlight w:val="white"/>
            <w:lang w:val="en-US"/>
          </w:rPr>
          <w:t>narodkuhni</w:t>
        </w:r>
        <w:r>
          <w:rPr>
            <w:rFonts w:ascii="Times New Roman" w:hAnsi="Times New Roman" w:cs="Times New Roman"/>
            <w:sz w:val="24"/>
            <w:szCs w:val="24"/>
            <w:highlight w:val="white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highlight w:val="white"/>
            <w:lang w:val="en-US"/>
          </w:rPr>
          <w:t>ru</w:t>
        </w:r>
        <w:proofErr w:type="spellEnd"/>
      </w:hyperlink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вручения подарка </w:t>
      </w: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акции необходимо сохранить</w:t>
      </w:r>
      <w:r>
        <w:rPr>
          <w:rFonts w:ascii="Times New Roman" w:hAnsi="Times New Roman" w:cs="Times New Roman"/>
          <w:sz w:val="24"/>
          <w:szCs w:val="24"/>
        </w:rPr>
        <w:t xml:space="preserve"> промо код и текст СМС сообщения о подарке.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подарка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абоненту необходимо оформить покупку сообщив промо код и наименование подарка продавцу в  сети магазинах </w:t>
      </w:r>
      <w:r>
        <w:rPr>
          <w:rFonts w:ascii="Times New Roman" w:hAnsi="Times New Roman" w:cs="Times New Roman"/>
          <w:sz w:val="24"/>
          <w:szCs w:val="24"/>
        </w:rPr>
        <w:t xml:space="preserve">Азбука Мебели», «Народные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Кухни».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сайте. </w:t>
      </w:r>
      <w:hyperlink r:id="rId12" w:tgtFrame="_blank">
        <w:r>
          <w:rPr>
            <w:rFonts w:ascii="Times New Roman" w:hAnsi="Times New Roman" w:cs="Times New Roman"/>
            <w:color w:val="990099"/>
            <w:sz w:val="24"/>
            <w:szCs w:val="24"/>
            <w:highlight w:val="white"/>
            <w:lang w:val="en-US"/>
          </w:rPr>
          <w:t>www</w:t>
        </w:r>
        <w:r>
          <w:rPr>
            <w:rFonts w:ascii="Times New Roman" w:hAnsi="Times New Roman" w:cs="Times New Roman"/>
            <w:color w:val="990099"/>
            <w:sz w:val="24"/>
            <w:szCs w:val="24"/>
            <w:highlight w:val="white"/>
          </w:rPr>
          <w:t>.</w:t>
        </w:r>
        <w:r>
          <w:rPr>
            <w:rFonts w:ascii="Times New Roman" w:hAnsi="Times New Roman" w:cs="Times New Roman"/>
            <w:color w:val="990099"/>
            <w:sz w:val="24"/>
            <w:szCs w:val="24"/>
            <w:highlight w:val="white"/>
            <w:lang w:val="en-US"/>
          </w:rPr>
          <w:t>azbykamebeli</w:t>
        </w:r>
        <w:r>
          <w:rPr>
            <w:rFonts w:ascii="Times New Roman" w:hAnsi="Times New Roman" w:cs="Times New Roman"/>
            <w:color w:val="990099"/>
            <w:sz w:val="24"/>
            <w:szCs w:val="24"/>
            <w:highlight w:val="white"/>
          </w:rPr>
          <w:t>.</w:t>
        </w:r>
        <w:r>
          <w:rPr>
            <w:rFonts w:ascii="Times New Roman" w:hAnsi="Times New Roman" w:cs="Times New Roman"/>
            <w:color w:val="990099"/>
            <w:sz w:val="24"/>
            <w:szCs w:val="24"/>
            <w:highlight w:val="white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  или  </w:t>
      </w:r>
      <w:hyperlink r:id="rId13">
        <w:r>
          <w:rPr>
            <w:rFonts w:ascii="Times New Roman" w:hAnsi="Times New Roman" w:cs="Times New Roman"/>
            <w:sz w:val="24"/>
            <w:szCs w:val="24"/>
            <w:highlight w:val="white"/>
            <w:lang w:val="en-US"/>
          </w:rPr>
          <w:t>www</w:t>
        </w:r>
        <w:r>
          <w:rPr>
            <w:rFonts w:ascii="Times New Roman" w:hAnsi="Times New Roman" w:cs="Times New Roman"/>
            <w:sz w:val="24"/>
            <w:szCs w:val="24"/>
            <w:highlight w:val="white"/>
          </w:rPr>
          <w:t>.</w:t>
        </w:r>
        <w:r>
          <w:rPr>
            <w:rFonts w:ascii="Times New Roman" w:hAnsi="Times New Roman" w:cs="Times New Roman"/>
            <w:sz w:val="24"/>
            <w:szCs w:val="24"/>
            <w:highlight w:val="white"/>
            <w:lang w:val="en-US"/>
          </w:rPr>
          <w:t>narodkuhni</w:t>
        </w:r>
        <w:r>
          <w:rPr>
            <w:rFonts w:ascii="Times New Roman" w:hAnsi="Times New Roman" w:cs="Times New Roman"/>
            <w:sz w:val="24"/>
            <w:szCs w:val="24"/>
            <w:highlight w:val="white"/>
          </w:rPr>
          <w:t>.</w:t>
        </w:r>
        <w:proofErr w:type="spellStart"/>
        <w:r>
          <w:rPr>
            <w:rFonts w:ascii="Times New Roman" w:hAnsi="Times New Roman" w:cs="Times New Roman"/>
            <w:sz w:val="24"/>
            <w:szCs w:val="24"/>
            <w:highlight w:val="white"/>
            <w:lang w:val="en-US"/>
          </w:rPr>
          <w:t>ru</w:t>
        </w:r>
        <w:proofErr w:type="spellEnd"/>
      </w:hyperlink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Мероприятия на свое усмотрение имеет право запросить у участника Мероприятия, скан основной страницы паспорта с отображением фото </w:t>
      </w:r>
      <w:r>
        <w:rPr>
          <w:rFonts w:ascii="Times New Roman" w:hAnsi="Times New Roman" w:cs="Times New Roman"/>
          <w:sz w:val="24"/>
          <w:szCs w:val="24"/>
        </w:rPr>
        <w:t xml:space="preserve">и ФИО для удостоверения личности участника на любом этапе проведения Мероприятия. 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участвуют в Мероприятии, блокируются и исключаются на любой стадии, в том числе из числа получателей подарка, заявки по которым у Организатора Мероприятия есть сомнения и</w:t>
      </w:r>
      <w:r>
        <w:rPr>
          <w:rFonts w:ascii="Times New Roman" w:hAnsi="Times New Roman" w:cs="Times New Roman"/>
          <w:sz w:val="24"/>
          <w:szCs w:val="24"/>
        </w:rPr>
        <w:t>ли основания полагать, что Участник совершает мошеннические действия, участвует в обмане, подкупе или финансовых махинациях, в том числе во множественных отправкам СМС.</w:t>
      </w: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Призовой фонд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Призовой фонд Мероприятия образуется за счет собственных средств Организ</w:t>
      </w:r>
      <w:r>
        <w:rPr>
          <w:rFonts w:ascii="Times New Roman" w:hAnsi="Times New Roman" w:cs="Times New Roman"/>
          <w:sz w:val="24"/>
          <w:szCs w:val="24"/>
        </w:rPr>
        <w:t>атора Мероприятия, формируется отдельно до проведения Мероприятия и используется исключительно для предоставления Призов победителям Мероприятия.</w:t>
      </w: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8C7E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получения 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подарка ,</w:t>
      </w:r>
      <w:proofErr w:type="gram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абоненту необходимо оформить покупку сообщив промо код и наименование подарка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продавцу в сети магазинах Азбука Мебели», «Народные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Кухни».или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сайте. www.azbykamebeli.ru или www.narodkuhni.ru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Пример СМС с подарком: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Ваш код (код) на подарок (наименование подарка) тел. 8800600606(телефон для получении информации о подарке)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Пример: 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аш код A353F на подарок Подарочная карта 1000 тел.8800600606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</w:p>
    <w:p w:rsidR="00924447" w:rsidRDefault="008C7E5C">
      <w:pPr>
        <w:spacing w:after="0" w:line="240" w:lineRule="auto"/>
        <w:textAlignment w:val="baseline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Принцип отправки приза победителям:</w:t>
      </w:r>
    </w:p>
    <w:p w:rsidR="00924447" w:rsidRDefault="008C7E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каждого уникального телефонного номера будет выбираться и регистрироваться один из представленных призов в соответствии с заданным порядком выпадения. Есл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и человек присылает повторное обращение, ему выдается ранее зарегистрированный за номером телефона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промокод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924447" w:rsidRDefault="009244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24447" w:rsidRDefault="009244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24447" w:rsidRDefault="009244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24447" w:rsidRDefault="009244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24447" w:rsidRDefault="009244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24447" w:rsidRDefault="008C7E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Подарочный фонд Мероприятия состоит </w:t>
      </w: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из: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Призовой</w:t>
      </w:r>
      <w:proofErr w:type="gram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фонд:</w:t>
      </w:r>
    </w:p>
    <w:p w:rsidR="00924447" w:rsidRDefault="009244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tbl>
      <w:tblPr>
        <w:tblW w:w="8220" w:type="dxa"/>
        <w:tblInd w:w="113" w:type="dxa"/>
        <w:tblLook w:val="04A0" w:firstRow="1" w:lastRow="0" w:firstColumn="1" w:lastColumn="0" w:noHBand="0" w:noVBand="1"/>
      </w:tblPr>
      <w:tblGrid>
        <w:gridCol w:w="1910"/>
        <w:gridCol w:w="1401"/>
        <w:gridCol w:w="1653"/>
        <w:gridCol w:w="1505"/>
        <w:gridCol w:w="1751"/>
      </w:tblGrid>
      <w:tr w:rsidR="00924447">
        <w:trPr>
          <w:trHeight w:val="573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447" w:rsidRDefault="008C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447" w:rsidRDefault="008C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447" w:rsidRDefault="008C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выпадений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447" w:rsidRDefault="008C7E5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Вероятность выпадения</w:t>
            </w:r>
          </w:p>
        </w:tc>
        <w:tc>
          <w:tcPr>
            <w:tcW w:w="1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4447" w:rsidRDefault="008C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Призовой фонд</w:t>
            </w:r>
          </w:p>
        </w:tc>
      </w:tr>
      <w:tr w:rsidR="00924447">
        <w:trPr>
          <w:trHeight w:val="300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Бонусы 500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17 272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pStyle w:val="afa"/>
              <w:jc w:val="right"/>
              <w:rPr>
                <w:color w:val="000000"/>
              </w:rPr>
            </w:pPr>
            <w:r>
              <w:rPr>
                <w:color w:val="000000"/>
              </w:rPr>
              <w:t>25,40%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1 079 500</w:t>
            </w:r>
          </w:p>
        </w:tc>
      </w:tr>
      <w:tr w:rsidR="00924447">
        <w:trPr>
          <w:trHeight w:val="300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</w:tcPr>
          <w:p w:rsidR="00924447" w:rsidRDefault="008C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Доставка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E4D6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E4D6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</w:tcPr>
          <w:p w:rsidR="00924447" w:rsidRDefault="008C7E5C">
            <w:pPr>
              <w:pStyle w:val="afa"/>
              <w:jc w:val="right"/>
              <w:rPr>
                <w:color w:val="000000"/>
              </w:rPr>
            </w:pPr>
            <w:r>
              <w:rPr>
                <w:color w:val="000000"/>
              </w:rPr>
              <w:t>15,00%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E4D6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1 683 000</w:t>
            </w:r>
          </w:p>
        </w:tc>
      </w:tr>
      <w:tr w:rsidR="00924447">
        <w:trPr>
          <w:trHeight w:val="300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Бонусы 1000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pStyle w:val="afa"/>
              <w:jc w:val="right"/>
              <w:rPr>
                <w:color w:val="000000"/>
              </w:rPr>
            </w:pPr>
            <w:r>
              <w:rPr>
                <w:color w:val="000000"/>
              </w:rPr>
              <w:t>25,00%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3 400 000</w:t>
            </w:r>
          </w:p>
        </w:tc>
      </w:tr>
      <w:tr w:rsidR="00924447">
        <w:trPr>
          <w:trHeight w:val="300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Подарочная карта 1000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pStyle w:val="afa"/>
              <w:jc w:val="right"/>
              <w:rPr>
                <w:color w:val="000000"/>
              </w:rPr>
            </w:pPr>
            <w:r>
              <w:rPr>
                <w:color w:val="000000"/>
              </w:rPr>
              <w:t>5,00%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2 040 000</w:t>
            </w:r>
          </w:p>
        </w:tc>
      </w:tr>
      <w:tr w:rsidR="00924447">
        <w:trPr>
          <w:trHeight w:val="300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Бонусы 2000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pStyle w:val="afa"/>
              <w:jc w:val="right"/>
              <w:rPr>
                <w:color w:val="000000"/>
              </w:rPr>
            </w:pPr>
            <w:r>
              <w:rPr>
                <w:color w:val="000000"/>
              </w:rPr>
              <w:t>18,00%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6 120 000</w:t>
            </w:r>
          </w:p>
        </w:tc>
      </w:tr>
      <w:tr w:rsidR="00924447">
        <w:trPr>
          <w:trHeight w:val="300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Бонусы 3000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pStyle w:val="afa"/>
              <w:jc w:val="right"/>
              <w:rPr>
                <w:color w:val="000000"/>
              </w:rPr>
            </w:pPr>
            <w:r>
              <w:rPr>
                <w:color w:val="000000"/>
              </w:rPr>
              <w:t>6,00%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DEBF7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3 672 000</w:t>
            </w:r>
          </w:p>
        </w:tc>
      </w:tr>
      <w:tr w:rsidR="00924447">
        <w:trPr>
          <w:trHeight w:val="300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</w:tcPr>
          <w:p w:rsidR="00924447" w:rsidRDefault="008C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Сборка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E4D6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E4D6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</w:tcPr>
          <w:p w:rsidR="00924447" w:rsidRDefault="008C7E5C">
            <w:pPr>
              <w:pStyle w:val="afa"/>
              <w:jc w:val="right"/>
              <w:rPr>
                <w:color w:val="000000"/>
              </w:rPr>
            </w:pPr>
            <w:r>
              <w:rPr>
                <w:color w:val="000000"/>
              </w:rPr>
              <w:t>5,00%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CE4D6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1 508 580</w:t>
            </w:r>
          </w:p>
        </w:tc>
      </w:tr>
      <w:tr w:rsidR="00924447">
        <w:trPr>
          <w:trHeight w:val="300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Подарочная карта 3000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pStyle w:val="afa"/>
              <w:jc w:val="right"/>
              <w:rPr>
                <w:color w:val="000000"/>
              </w:rPr>
            </w:pPr>
            <w:r>
              <w:rPr>
                <w:color w:val="000000"/>
              </w:rPr>
              <w:t>0,30%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489 600</w:t>
            </w:r>
          </w:p>
        </w:tc>
      </w:tr>
      <w:tr w:rsidR="00924447">
        <w:trPr>
          <w:trHeight w:val="300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Подарочная карта 5000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pStyle w:val="afa"/>
              <w:jc w:val="right"/>
              <w:rPr>
                <w:color w:val="000000"/>
              </w:rPr>
            </w:pPr>
            <w:r>
              <w:rPr>
                <w:color w:val="000000"/>
              </w:rPr>
              <w:t>0,20%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612 000</w:t>
            </w:r>
          </w:p>
        </w:tc>
      </w:tr>
      <w:tr w:rsidR="00924447">
        <w:trPr>
          <w:trHeight w:val="300"/>
        </w:trPr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Подарочная карта 10000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pStyle w:val="afa"/>
              <w:jc w:val="right"/>
              <w:rPr>
                <w:color w:val="000000"/>
              </w:rPr>
            </w:pPr>
            <w:r>
              <w:rPr>
                <w:color w:val="000000"/>
              </w:rPr>
              <w:t>0,10%</w:t>
            </w:r>
          </w:p>
        </w:tc>
        <w:tc>
          <w:tcPr>
            <w:tcW w:w="175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E2EFDA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680 000</w:t>
            </w:r>
          </w:p>
        </w:tc>
      </w:tr>
      <w:tr w:rsidR="00924447">
        <w:trPr>
          <w:trHeight w:val="300"/>
        </w:trPr>
        <w:tc>
          <w:tcPr>
            <w:tcW w:w="1911" w:type="dxa"/>
            <w:shd w:val="clear" w:color="auto" w:fill="auto"/>
            <w:vAlign w:val="bottom"/>
          </w:tcPr>
          <w:p w:rsidR="00924447" w:rsidRDefault="009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24447" w:rsidRDefault="0092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  <w:vAlign w:val="bottom"/>
          </w:tcPr>
          <w:p w:rsidR="00924447" w:rsidRDefault="009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shd w:val="clear" w:color="auto" w:fill="auto"/>
            <w:vAlign w:val="bottom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100%</w:t>
            </w:r>
          </w:p>
        </w:tc>
        <w:tc>
          <w:tcPr>
            <w:tcW w:w="1751" w:type="dxa"/>
            <w:shd w:val="clear" w:color="auto" w:fill="auto"/>
            <w:vAlign w:val="bottom"/>
          </w:tcPr>
          <w:p w:rsidR="00924447" w:rsidRDefault="008C7E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21 284 680</w:t>
            </w:r>
          </w:p>
        </w:tc>
      </w:tr>
    </w:tbl>
    <w:p w:rsidR="00924447" w:rsidRDefault="009244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8C7E5C">
      <w:pPr>
        <w:pStyle w:val="af1"/>
        <w:ind w:left="0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8C7E5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Подарок определяется по следующему алгоритму:</w:t>
      </w:r>
    </w:p>
    <w:p w:rsidR="00924447" w:rsidRDefault="008C7E5C">
      <w:pPr>
        <w:pStyle w:val="afc"/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каждого нового обратившегося участника определяется его порядковый номер обращения N.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На основе его порядкового номера ему вычисляется порядковый номер подарка P по формуле. P = ((N — 1) </w:t>
      </w:r>
      <w:proofErr w:type="spellStart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mod</w:t>
      </w:r>
      <w:proofErr w:type="spellEnd"/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1000) + 1 (Отнимает единицу от порядкового номера обращений,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берем остаток от деления на 1000 и к результату прибавляем 1).</w:t>
      </w:r>
    </w:p>
    <w:p w:rsidR="00924447" w:rsidRDefault="008C7E5C">
      <w:pPr>
        <w:pStyle w:val="afc"/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основе полученного порядкового номера подарка ему выдается подарок, определенный в Приложении 1 (Распределение подарков на 1000 обращений)</w:t>
      </w:r>
    </w:p>
    <w:p w:rsidR="00924447" w:rsidRDefault="00924447">
      <w:pPr>
        <w:pStyle w:val="af1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924447" w:rsidRDefault="0092444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не компенсирует любые расходы Участни</w:t>
      </w:r>
      <w:r>
        <w:rPr>
          <w:rFonts w:ascii="Times New Roman" w:hAnsi="Times New Roman" w:cs="Times New Roman"/>
          <w:sz w:val="24"/>
          <w:szCs w:val="24"/>
        </w:rPr>
        <w:t xml:space="preserve">ков и/или лиц, признанных обладателями соответствующего приза, понесенные в ходе участия в настоящем Мероприятии, а также в рамках использования приза. Внешний вид Призов может отличаться от представленного в информационных и рекламных материалах. </w:t>
      </w: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ча Подарка третьим лицам не допускается.</w:t>
      </w: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 нераспределенными, невостребованными Подаркам Мероприятия, от получения которых Участники отказались, Организатор Мероприятия распоряжается по своему усмотрению. После предъявленного Организатору заявления Уч</w:t>
      </w:r>
      <w:r>
        <w:rPr>
          <w:rFonts w:ascii="Times New Roman" w:hAnsi="Times New Roman" w:cs="Times New Roman"/>
          <w:sz w:val="24"/>
          <w:szCs w:val="24"/>
        </w:rPr>
        <w:t>астника об отказе от получения Подарка Мероприятия не могут быть востребованы Участниками повторно.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Подарки Мероприятия не подлежат выдаче в какой-либо иной форме, иными способами, иным лицам, помимо способов, формы и лицам, описанным в настоящих Правилах.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bookmarkStart w:id="8" w:name="_Hlk17392013"/>
      <w:r>
        <w:rPr>
          <w:rFonts w:ascii="Times New Roman" w:hAnsi="Times New Roman" w:cs="Times New Roman"/>
          <w:sz w:val="24"/>
          <w:szCs w:val="24"/>
        </w:rPr>
        <w:t>Количество Подарков ограничено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, возможно досрочное прекращение Мероприятия при окончании подарочного фонда Мероприятия либо возможна замена Подарка на другие </w:t>
      </w:r>
      <w:r>
        <w:rPr>
          <w:rFonts w:ascii="Times New Roman" w:hAnsi="Times New Roman" w:cs="Times New Roman"/>
          <w:sz w:val="24"/>
          <w:szCs w:val="24"/>
        </w:rPr>
        <w:lastRenderedPageBreak/>
        <w:t>Подарка по усмотрению Организатора Мероприятия. 10. Порядок, сроки и место получения подарка: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В случае выявления Организатором Мероприятия использования Участником запрещённых средств и/или осуществление Участником действий не соответствующих условиям, предусмотренным в настоящих Правилах, Организатор, в любой время, с момента выявления указа</w:t>
      </w:r>
      <w:r>
        <w:rPr>
          <w:rFonts w:ascii="Times New Roman" w:hAnsi="Times New Roman" w:cs="Times New Roman"/>
          <w:sz w:val="24"/>
          <w:szCs w:val="24"/>
        </w:rPr>
        <w:t>нных нарушений, имеет право аннулировать  ранее зарегистрированный таким лицом промо код (без разбора истории происхождения каждого Чека), а также исключить такое лицо из состава Участников или Победителей, с возможностью его отстранения от дальнейшего уча</w:t>
      </w:r>
      <w:r>
        <w:rPr>
          <w:rFonts w:ascii="Times New Roman" w:hAnsi="Times New Roman" w:cs="Times New Roman"/>
          <w:sz w:val="24"/>
          <w:szCs w:val="24"/>
        </w:rPr>
        <w:t>стия в Мероприятии. Организатор не несет ответственности за технические сбои, связанные с регистрацией Участников на Сайте, в том числе за технические неполадки, в случае, если они возникли не по вине Организатора.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10.5. Организатор Мероприятия в </w:t>
      </w:r>
      <w:r>
        <w:rPr>
          <w:rFonts w:ascii="Times New Roman" w:hAnsi="Times New Roman" w:cs="Times New Roman"/>
          <w:sz w:val="24"/>
          <w:szCs w:val="24"/>
        </w:rPr>
        <w:t>одностороннем порядке и без объяснения причин имеет право в любой момент исключить из числа победителей Мероприятия лиц: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предоставивших документы, информацию, сведения, установленные настоящими Правилами, для вручения Подарков Мероприятия в установленны</w:t>
      </w:r>
      <w:r>
        <w:rPr>
          <w:rFonts w:ascii="Times New Roman" w:hAnsi="Times New Roman" w:cs="Times New Roman"/>
          <w:sz w:val="24"/>
          <w:szCs w:val="24"/>
        </w:rPr>
        <w:t>е правилами сроки;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предоставивших/зарегистрировавших промо код с признаками обработки специализированными программами;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предоставивших/зарегистрировавших некорректный промо код, не прошедший проверку на сайте;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подозревающихся в неоднократной регистрации в М</w:t>
      </w:r>
      <w:r>
        <w:rPr>
          <w:rFonts w:ascii="Times New Roman" w:hAnsi="Times New Roman" w:cs="Times New Roman"/>
          <w:sz w:val="24"/>
          <w:szCs w:val="24"/>
        </w:rPr>
        <w:t>ероприятии;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предоставивших о себе искажённую информацию или в отношении которых имеется подозрение о совершении мошеннических действий, целью которых является необоснованное получение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Подакрка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действующих в нарушение настоящих Правил, действую</w:t>
      </w:r>
      <w:r>
        <w:rPr>
          <w:rFonts w:ascii="Times New Roman" w:hAnsi="Times New Roman" w:cs="Times New Roman"/>
          <w:sz w:val="24"/>
          <w:szCs w:val="24"/>
        </w:rPr>
        <w:t xml:space="preserve">щих деструктивным образом, или осуществляющих действия с намерением досаждать, оскорблять, угрожать или причинять беспокойство любому иному лицу, которое может быть связано с настоящим Мероприятием. 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10.6.Все подарки должны быть переданы Участнику не поздн</w:t>
      </w:r>
      <w:r>
        <w:rPr>
          <w:rFonts w:ascii="Times New Roman" w:hAnsi="Times New Roman" w:cs="Times New Roman"/>
          <w:sz w:val="24"/>
          <w:szCs w:val="24"/>
        </w:rPr>
        <w:t>ее 31 января 2021 года. Если в срок до 15 января 2021 года Организатору по не зависящим от него причинам не удастся связаться с победителем Мероприятия, то такой победитель лишается права на получение указанных выше подарков, подарок признается невостребов</w:t>
      </w:r>
      <w:r>
        <w:rPr>
          <w:rFonts w:ascii="Times New Roman" w:hAnsi="Times New Roman" w:cs="Times New Roman"/>
          <w:sz w:val="24"/>
          <w:szCs w:val="24"/>
        </w:rPr>
        <w:t>анным и может быть использован по усмотрению Организатора Мероприятия.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10.7.В случае если представитель Организатора не сможет дозвониться до Победителя в течение 10 (Десяти) дней после объявления Победителей (у Победителя выключен или недоступен номер тел</w:t>
      </w:r>
      <w:r>
        <w:rPr>
          <w:rFonts w:ascii="Times New Roman" w:hAnsi="Times New Roman" w:cs="Times New Roman"/>
          <w:sz w:val="24"/>
          <w:szCs w:val="24"/>
        </w:rPr>
        <w:t>ефона, а также, если Победитель не отвечает на входящий звонок), Организатор оставляет за собой право данному Победителю Подарка не выдавать, а указанный им телефонный номер исключить из базы Участников Мероприятия, и в дальнейшем к участию в Мероприятии д</w:t>
      </w:r>
      <w:r>
        <w:rPr>
          <w:rFonts w:ascii="Times New Roman" w:hAnsi="Times New Roman" w:cs="Times New Roman"/>
          <w:sz w:val="24"/>
          <w:szCs w:val="24"/>
        </w:rPr>
        <w:t>анный номер не принимать.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Порядок информирования участников стимулирующего мероприятия об условиях мероприятия: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Информирование участников Мероприятия о сроках проведения стимулирующего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мероприятияи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условиях проведения Мероприятия будет осущ</w:t>
      </w:r>
      <w:r>
        <w:rPr>
          <w:rFonts w:ascii="Times New Roman" w:hAnsi="Times New Roman" w:cs="Times New Roman"/>
          <w:sz w:val="24"/>
          <w:szCs w:val="24"/>
        </w:rPr>
        <w:t>ествляться на сайте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hyperlink r:id="rId14">
        <w:r>
          <w:rPr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azbuka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Fonts w:ascii="Times New Roman" w:hAnsi="Times New Roman" w:cs="Times New Roman"/>
            <w:sz w:val="24"/>
            <w:szCs w:val="24"/>
            <w:lang w:val="en-US"/>
          </w:rPr>
          <w:t>mebeli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.startsm.ru/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по телефону горячей линии </w:t>
      </w:r>
      <w:hyperlink r:id="rId15">
        <w:r>
          <w:rPr>
            <w:rFonts w:ascii="Times New Roman" w:hAnsi="Times New Roman" w:cs="Times New Roman"/>
            <w:b/>
            <w:bCs/>
            <w:color w:val="4A4A4A"/>
            <w:sz w:val="24"/>
            <w:szCs w:val="24"/>
            <w:highlight w:val="white"/>
          </w:rPr>
          <w:t>8 800 7070606</w:t>
        </w:r>
      </w:hyperlink>
      <w:r>
        <w:rPr>
          <w:rFonts w:ascii="Times New Roman" w:hAnsi="Times New Roman" w:cs="Times New Roman"/>
          <w:sz w:val="24"/>
          <w:szCs w:val="24"/>
        </w:rPr>
        <w:t>и иными способами по выбору Организатора Мероприятия.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условия: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Во всем, что не предусмотрено настоящими Условиями, Организатор и участники стимулирующего мероприятия руководствуются действующим законодательством Российской Федерации.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12.2. Организатор Мероприятия оставляет за собой право вносить измене</w:t>
      </w:r>
      <w:r>
        <w:rPr>
          <w:rFonts w:ascii="Times New Roman" w:hAnsi="Times New Roman" w:cs="Times New Roman"/>
          <w:sz w:val="24"/>
          <w:szCs w:val="24"/>
        </w:rPr>
        <w:t>ния в Условия стимулирующего Мероприятия, а также принять решение о завершении Мероприятия. Информация обо всех изменениях в настоящих Условиях или завершении Мероприятия будет размещена на сайте не менее, чем за 3 дня до вступления соответствующих изменен</w:t>
      </w:r>
      <w:r>
        <w:rPr>
          <w:rFonts w:ascii="Times New Roman" w:hAnsi="Times New Roman" w:cs="Times New Roman"/>
          <w:sz w:val="24"/>
          <w:szCs w:val="24"/>
        </w:rPr>
        <w:t>ий в силу, или срока завершения Мероприятия.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12.3.Организатор оставляет за собой право по своему собственному усмотрению отменить или приостановить проведение Мероприятия без предварительного уведомления в случае возникновения форс-мажорных обстоятельств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2.4. Обязательства Организатора Мероприятия относительно качества призов ограничены гарантиями, предоставленными их изготовителями.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 Выигранные Участниками Мероприятия призы нельзя обменять, заменить или получить их денежный эквивалент.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 Ответств</w:t>
      </w:r>
      <w:r>
        <w:rPr>
          <w:rFonts w:ascii="Times New Roman" w:hAnsi="Times New Roman" w:cs="Times New Roman"/>
          <w:sz w:val="24"/>
          <w:szCs w:val="24"/>
        </w:rPr>
        <w:t>енность Организатора Мероприятия за выдачу призов ограничена исключительно вышеуказанным количеством и видами этих подарков.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12.7. Организатор не несёт ответственности за действия (бездействия), а также ошибки участников Мероприятия.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12.8. Организатор не н</w:t>
      </w:r>
      <w:r>
        <w:rPr>
          <w:rFonts w:ascii="Times New Roman" w:hAnsi="Times New Roman" w:cs="Times New Roman"/>
          <w:sz w:val="24"/>
          <w:szCs w:val="24"/>
        </w:rPr>
        <w:t xml:space="preserve">есёт ответственности в случае, если Победитель не может осуществить его получение в порядке, установленном настоящими Правилами, по причинам, не связанным с выполнением Организатором своих обязанностей. 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12.9. Организатор не несёт ответственность перед уча</w:t>
      </w:r>
      <w:r>
        <w:rPr>
          <w:rFonts w:ascii="Times New Roman" w:hAnsi="Times New Roman" w:cs="Times New Roman"/>
          <w:sz w:val="24"/>
          <w:szCs w:val="24"/>
        </w:rPr>
        <w:t>стниками в следующих случаях: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за возникновение форс-мажорных или иных обстоятельств, исключающих возможность вручения приза его обладателю;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в случае наступления форс-мажорных обстоятельств, непосредственно влияющих на выполнение Организатором своих о</w:t>
      </w:r>
      <w:r>
        <w:rPr>
          <w:rFonts w:ascii="Times New Roman" w:hAnsi="Times New Roman" w:cs="Times New Roman"/>
          <w:sz w:val="24"/>
          <w:szCs w:val="24"/>
        </w:rPr>
        <w:t xml:space="preserve">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Организатора объективные </w:t>
      </w:r>
      <w:r>
        <w:rPr>
          <w:rFonts w:ascii="Times New Roman" w:hAnsi="Times New Roman" w:cs="Times New Roman"/>
          <w:sz w:val="24"/>
          <w:szCs w:val="24"/>
        </w:rPr>
        <w:t>причины;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неисполнения (несвоевременного исполнение) участниками своих обязанностей, предусмотренных настоящими Правилами.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12.10. Организатор не несёт ответственности за пропуск сроков, установленных для совершения действий настоящими Правилами. </w:t>
      </w:r>
      <w:r>
        <w:rPr>
          <w:rFonts w:ascii="Times New Roman" w:hAnsi="Times New Roman" w:cs="Times New Roman"/>
          <w:sz w:val="24"/>
          <w:szCs w:val="24"/>
        </w:rPr>
        <w:t>Претензии в связи с пропуском сроков, не принимаются, приз по истечению срока для его получения не выдаётся.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12.11. Организатор несёт расходы, только прямо указанные в настоящих Правилах. Все прочие расходы, связанные с участием в Мероприятии (покупка това</w:t>
      </w:r>
      <w:r>
        <w:rPr>
          <w:rFonts w:ascii="Times New Roman" w:hAnsi="Times New Roman" w:cs="Times New Roman"/>
          <w:sz w:val="24"/>
          <w:szCs w:val="24"/>
        </w:rPr>
        <w:t xml:space="preserve">ров для участия в Акции),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получением подарка (проезд к месту вручения) участники несут самостоятельно и за собственный счёт.</w:t>
      </w: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УК «Деловые люди»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генеральный директор Чубов Игорь Витальевич</w:t>
      </w:r>
    </w:p>
    <w:p w:rsidR="00924447" w:rsidRDefault="008C7E5C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12.11.2020 г.</w:t>
      </w: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p w:rsidR="00924447" w:rsidRDefault="00924447">
      <w:pPr>
        <w:pStyle w:val="af1"/>
        <w:ind w:left="0"/>
        <w:rPr>
          <w:rFonts w:ascii="Times New Roman" w:hAnsi="Times New Roman" w:cs="Times New Roman"/>
          <w:sz w:val="24"/>
          <w:szCs w:val="24"/>
        </w:rPr>
      </w:pPr>
    </w:p>
    <w:sectPr w:rsidR="00924447">
      <w:pgSz w:w="11906" w:h="16838"/>
      <w:pgMar w:top="709" w:right="1133" w:bottom="709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1"/>
    <w:family w:val="roman"/>
    <w:pitch w:val="variable"/>
  </w:font>
  <w:font w:name="SymbolMT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47"/>
    <w:rsid w:val="008C7E5C"/>
    <w:rsid w:val="0092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3023C-7999-403B-AA48-22DD98B8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129"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760CE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D2BA0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unhideWhenUsed/>
    <w:qFormat/>
    <w:rsid w:val="006A72F9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qFormat/>
    <w:rsid w:val="006A72F9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6A72F9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6A72F9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B4B5A"/>
    <w:rPr>
      <w:color w:val="808080"/>
      <w:shd w:val="clear" w:color="auto" w:fill="E6E6E6"/>
    </w:rPr>
  </w:style>
  <w:style w:type="character" w:styleId="a7">
    <w:name w:val="Emphasis"/>
    <w:basedOn w:val="a0"/>
    <w:uiPriority w:val="20"/>
    <w:qFormat/>
    <w:rsid w:val="00B04E25"/>
    <w:rPr>
      <w:i/>
      <w:iCs/>
    </w:rPr>
  </w:style>
  <w:style w:type="character" w:customStyle="1" w:styleId="fontstyle01">
    <w:name w:val="fontstyle01"/>
    <w:basedOn w:val="a0"/>
    <w:qFormat/>
    <w:rsid w:val="002C2B06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qFormat/>
    <w:rsid w:val="00C37B46"/>
    <w:rPr>
      <w:rFonts w:ascii="SymbolMT" w:hAnsi="SymbolM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sid w:val="00760CE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8C634D"/>
  </w:style>
  <w:style w:type="character" w:customStyle="1" w:styleId="a9">
    <w:name w:val="Нижний колонтитул Знак"/>
    <w:basedOn w:val="a0"/>
    <w:uiPriority w:val="99"/>
    <w:qFormat/>
    <w:rsid w:val="008C634D"/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52365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A14B3"/>
    <w:rPr>
      <w:color w:val="605E5C"/>
      <w:shd w:val="clear" w:color="auto" w:fill="E1DFDD"/>
    </w:rPr>
  </w:style>
  <w:style w:type="character" w:customStyle="1" w:styleId="aa">
    <w:name w:val="Текст концевой сноски Знак"/>
    <w:basedOn w:val="a0"/>
    <w:uiPriority w:val="99"/>
    <w:semiHidden/>
    <w:qFormat/>
    <w:rsid w:val="00F5416A"/>
    <w:rPr>
      <w:sz w:val="20"/>
      <w:szCs w:val="20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F5416A"/>
    <w:rPr>
      <w:vertAlign w:val="superscript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Free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FreeSans"/>
    </w:rPr>
  </w:style>
  <w:style w:type="paragraph" w:styleId="af1">
    <w:name w:val="List Paragraph"/>
    <w:basedOn w:val="a"/>
    <w:qFormat/>
    <w:rsid w:val="008A3707"/>
    <w:pPr>
      <w:ind w:left="720"/>
      <w:contextualSpacing/>
    </w:pPr>
  </w:style>
  <w:style w:type="paragraph" w:styleId="af2">
    <w:name w:val="annotation text"/>
    <w:basedOn w:val="a"/>
    <w:uiPriority w:val="99"/>
    <w:unhideWhenUsed/>
    <w:qFormat/>
    <w:rsid w:val="006A72F9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6A72F9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6A72F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025D8E"/>
    <w:pPr>
      <w:spacing w:after="160" w:line="259" w:lineRule="auto"/>
      <w:textAlignment w:val="baseline"/>
    </w:pPr>
    <w:rPr>
      <w:rFonts w:eastAsia="SimSun" w:cs="F"/>
      <w:kern w:val="2"/>
      <w:sz w:val="22"/>
      <w:lang w:val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rsid w:val="008C634D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unhideWhenUsed/>
    <w:rsid w:val="008C634D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Normal (Web)"/>
    <w:basedOn w:val="a"/>
    <w:uiPriority w:val="99"/>
    <w:semiHidden/>
    <w:unhideWhenUsed/>
    <w:qFormat/>
    <w:rsid w:val="00252B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uiPriority w:val="99"/>
    <w:semiHidden/>
    <w:unhideWhenUsed/>
    <w:rsid w:val="00F5416A"/>
    <w:pPr>
      <w:spacing w:after="0" w:line="240" w:lineRule="auto"/>
    </w:pPr>
    <w:rPr>
      <w:sz w:val="20"/>
      <w:szCs w:val="20"/>
    </w:rPr>
  </w:style>
  <w:style w:type="paragraph" w:customStyle="1" w:styleId="228bf8a64b8551e1msonormal">
    <w:name w:val="228bf8a64b8551e1msonormal"/>
    <w:basedOn w:val="a"/>
    <w:qFormat/>
    <w:rsid w:val="002415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d">
    <w:name w:val="Table Grid"/>
    <w:basedOn w:val="a1"/>
    <w:uiPriority w:val="39"/>
    <w:rsid w:val="0083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uka-mebeli.ru/" TargetMode="External"/><Relationship Id="rId13" Type="http://schemas.openxmlformats.org/officeDocument/2006/relationships/hyperlink" Target="http://www.narodkuhni.ru/" TargetMode="External"/><Relationship Id="rId3" Type="http://schemas.openxmlformats.org/officeDocument/2006/relationships/settings" Target="settings.xml"/><Relationship Id="rId7" Type="http://schemas.openxmlformats.org/officeDocument/2006/relationships/hyperlink" Target="tel:+78003337660" TargetMode="External"/><Relationship Id="rId12" Type="http://schemas.openxmlformats.org/officeDocument/2006/relationships/hyperlink" Target="http://www.azbykamebel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narodkuhni.ru/" TargetMode="External"/><Relationship Id="rId11" Type="http://schemas.openxmlformats.org/officeDocument/2006/relationships/hyperlink" Target="http://www.narodkuhni.ru/" TargetMode="External"/><Relationship Id="rId5" Type="http://schemas.openxmlformats.org/officeDocument/2006/relationships/hyperlink" Target="http://azbuka-mebeli.ru/" TargetMode="External"/><Relationship Id="rId15" Type="http://schemas.openxmlformats.org/officeDocument/2006/relationships/hyperlink" Target="tel:+78003337660" TargetMode="External"/><Relationship Id="rId10" Type="http://schemas.openxmlformats.org/officeDocument/2006/relationships/hyperlink" Target="http://www.azbykamebel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odkuhni.ru/" TargetMode="External"/><Relationship Id="rId14" Type="http://schemas.openxmlformats.org/officeDocument/2006/relationships/hyperlink" Target="http://azbuka-mebeli.starts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43D9-A166-4DD4-AE2F-BFBA75EB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2746</Words>
  <Characters>15653</Characters>
  <Application>Microsoft Office Word</Application>
  <DocSecurity>0</DocSecurity>
  <Lines>130</Lines>
  <Paragraphs>36</Paragraphs>
  <ScaleCrop>false</ScaleCrop>
  <Company>DDGroup</Company>
  <LinksUpToDate>false</LinksUpToDate>
  <CharactersWithSpaces>18363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2</dc:creator>
  <dc:description/>
  <cp:lastModifiedBy>Велиева Анна Юрьевна</cp:lastModifiedBy>
  <cp:revision>2</cp:revision>
  <cp:lastPrinted>2018-09-03T15:35:00Z</cp:lastPrinted>
  <dcterms:created xsi:type="dcterms:W3CDTF">2020-12-04T05:15:00Z</dcterms:created>
  <dcterms:modified xsi:type="dcterms:W3CDTF">2020-12-04T05:15:00Z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DDGroup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Enabled">
    <vt:lpwstr>True</vt:lpwstr>
  </property>
  <property fmtid="{D5CDD505-2E9C-101B-9397-08002B2CF9AE}" pid="9" name="MSIP_Label_645dad89-2096-47a1-b1b1-c9d057667e94_Extended_MSFT_Method">
    <vt:lpwstr>Automatic</vt:lpwstr>
  </property>
  <property fmtid="{D5CDD505-2E9C-101B-9397-08002B2CF9AE}" pid="10" name="MSIP_Label_645dad89-2096-47a1-b1b1-c9d057667e94_Name">
    <vt:lpwstr>C1 - Internal use</vt:lpwstr>
  </property>
  <property fmtid="{D5CDD505-2E9C-101B-9397-08002B2CF9AE}" pid="11" name="MSIP_Label_645dad89-2096-47a1-b1b1-c9d057667e94_Owner">
    <vt:lpwstr>Khoangsean.VU@loreal.com</vt:lpwstr>
  </property>
  <property fmtid="{D5CDD505-2E9C-101B-9397-08002B2CF9AE}" pid="12" name="MSIP_Label_645dad89-2096-47a1-b1b1-c9d057667e94_SetDate">
    <vt:lpwstr>2019-08-22T07:36:40.9062874Z</vt:lpwstr>
  </property>
  <property fmtid="{D5CDD505-2E9C-101B-9397-08002B2CF9AE}" pid="13" name="MSIP_Label_645dad89-2096-47a1-b1b1-c9d057667e94_SiteId">
    <vt:lpwstr>e4e1abd9-eac7-4a71-ab52-da5c998aa7ba</vt:lpwstr>
  </property>
  <property fmtid="{D5CDD505-2E9C-101B-9397-08002B2CF9AE}" pid="14" name="ScaleCrop">
    <vt:bool>false</vt:bool>
  </property>
  <property fmtid="{D5CDD505-2E9C-101B-9397-08002B2CF9AE}" pid="15" name="Sensitivity">
    <vt:lpwstr>C1 - Internal use</vt:lpwstr>
  </property>
  <property fmtid="{D5CDD505-2E9C-101B-9397-08002B2CF9AE}" pid="16" name="ShareDoc">
    <vt:bool>false</vt:bool>
  </property>
</Properties>
</file>